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E" w:rsidRDefault="00023768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bilinmeyen kaynaklardan bulaşma riskini  azaltmak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0A6391" w:rsidRDefault="00023768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     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Default="00080173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FE24C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63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Tüm Personel</w:t>
      </w: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2941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BC376B">
        <w:tc>
          <w:tcPr>
            <w:tcW w:w="10916" w:type="dxa"/>
            <w:gridSpan w:val="3"/>
          </w:tcPr>
          <w:p w:rsidR="00D83C21" w:rsidRPr="00D83C21" w:rsidRDefault="00D83C21" w:rsidP="00BC376B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BC376B">
        <w:tc>
          <w:tcPr>
            <w:tcW w:w="10916" w:type="dxa"/>
            <w:gridSpan w:val="3"/>
            <w:vAlign w:val="center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Dersliklerin </w:t>
            </w:r>
            <w:r w:rsidR="009407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Otoritelerince belirlenen fiziksel mesafe kurallarına uygun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</w:pP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</w:pPr>
          </w:p>
        </w:tc>
      </w:tr>
      <w:tr w:rsidR="00D83C21" w:rsidRPr="00D83C21" w:rsidTr="00BC376B">
        <w:tc>
          <w:tcPr>
            <w:tcW w:w="4558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BC376B">
            <w:pPr>
              <w:spacing w:line="240" w:lineRule="auto"/>
            </w:pPr>
          </w:p>
          <w:p w:rsidR="00D83C21" w:rsidRPr="00D83C21" w:rsidRDefault="00D83C21" w:rsidP="00BC376B">
            <w:pPr>
              <w:spacing w:line="240" w:lineRule="auto"/>
            </w:pPr>
          </w:p>
          <w:p w:rsidR="00D83C21" w:rsidRPr="00D83C21" w:rsidRDefault="00D83C21" w:rsidP="00BC376B">
            <w:pPr>
              <w:spacing w:line="240" w:lineRule="auto"/>
            </w:pP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BC376B">
        <w:tc>
          <w:tcPr>
            <w:tcW w:w="10916" w:type="dxa"/>
            <w:gridSpan w:val="3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</w:t>
            </w:r>
            <w:r w:rsidR="000520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052015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Lavabolara 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10916" w:type="dxa"/>
            <w:gridSpan w:val="3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052015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10916" w:type="dxa"/>
            <w:gridSpan w:val="3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7E5987" w:rsidP="00BC376B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7E5987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7E5987" w:rsidP="00BC376B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10916" w:type="dxa"/>
            <w:gridSpan w:val="3"/>
          </w:tcPr>
          <w:p w:rsidR="00583605" w:rsidRDefault="00583605" w:rsidP="00BC37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</w:p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BC376B">
        <w:tc>
          <w:tcPr>
            <w:tcW w:w="10916" w:type="dxa"/>
            <w:gridSpan w:val="3"/>
          </w:tcPr>
          <w:p w:rsidR="00D83C21" w:rsidRPr="00D83C21" w:rsidRDefault="00D83C21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:rsidTr="00BC376B">
        <w:tc>
          <w:tcPr>
            <w:tcW w:w="4558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7E5987" w:rsidRPr="00D83C21" w:rsidTr="00BC376B">
        <w:tc>
          <w:tcPr>
            <w:tcW w:w="10916" w:type="dxa"/>
            <w:gridSpan w:val="3"/>
            <w:vAlign w:val="center"/>
          </w:tcPr>
          <w:p w:rsidR="007E5987" w:rsidRPr="00D83C21" w:rsidRDefault="007E5987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Servis araçları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koltuğu kullanması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Araçların hergün düzenli şekilde dezenfekte edilmesi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0E002E" w:rsidRPr="00D83C21" w:rsidTr="00BC376B">
        <w:tc>
          <w:tcPr>
            <w:tcW w:w="10916" w:type="dxa"/>
            <w:gridSpan w:val="3"/>
            <w:vAlign w:val="center"/>
          </w:tcPr>
          <w:p w:rsidR="000E002E" w:rsidRDefault="000E002E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Yemekhanenin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sandalyeyi kullanmasının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yemek sırasına girilmesi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 dağıtımının  aynı personeller tarafından yapılmasının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Dağıtım öncesi ve sonrası temizliğin düzenli yapılması ve belli aralıklarla havalandırılması.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4902C2" w:rsidRPr="00D83C21" w:rsidTr="00BC376B">
        <w:tc>
          <w:tcPr>
            <w:tcW w:w="10916" w:type="dxa"/>
            <w:gridSpan w:val="3"/>
            <w:vAlign w:val="center"/>
          </w:tcPr>
          <w:p w:rsidR="004902C2" w:rsidRDefault="004902C2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Spor salonunun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Sosyal mesafe kurallarına dikkat edilerek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etkinlik yapılması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COVİD-19 Salgın Yönetimi ve Çalışma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Her kullanımdan sonra spor aletlerinin dezenfekte edilmesi.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BC376B">
        <w:tc>
          <w:tcPr>
            <w:tcW w:w="4558" w:type="dxa"/>
            <w:vAlign w:val="center"/>
          </w:tcPr>
          <w:p w:rsidR="00C820A9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salonunun temizliğin düzenli yapılması ve belli aralıklarla havalandırılması.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BC37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BC376B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NOT 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faklı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Default="0044682E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35A0">
        <w:rPr>
          <w:rFonts w:ascii="Times New Roman" w:hAnsi="Times New Roman" w:cs="Times New Roman"/>
        </w:rPr>
        <w:t xml:space="preserve">   </w:t>
      </w:r>
    </w:p>
    <w:p w:rsidR="00BC376B" w:rsidRDefault="00BC376B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BC376B" w:rsidRDefault="00BC376B" w:rsidP="00C61256">
      <w:pPr>
        <w:ind w:left="6372"/>
        <w:rPr>
          <w:rFonts w:ascii="Times New Roman" w:hAnsi="Times New Roman" w:cs="Times New Roman"/>
        </w:rPr>
      </w:pPr>
    </w:p>
    <w:p w:rsidR="00BC376B" w:rsidRDefault="00BC376B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24DF">
        <w:rPr>
          <w:rFonts w:ascii="Times New Roman" w:hAnsi="Times New Roman" w:cs="Times New Roman"/>
        </w:rPr>
        <w:t xml:space="preserve"> </w:t>
      </w:r>
      <w:r w:rsidR="005A0C41">
        <w:rPr>
          <w:rFonts w:ascii="Times New Roman" w:hAnsi="Times New Roman" w:cs="Times New Roman"/>
        </w:rPr>
        <w:t>Hayati COŞGUN</w:t>
      </w:r>
      <w:r w:rsidR="00C61256">
        <w:rPr>
          <w:rFonts w:ascii="Times New Roman" w:hAnsi="Times New Roman" w:cs="Times New Roman"/>
        </w:rPr>
        <w:t xml:space="preserve"> </w:t>
      </w:r>
    </w:p>
    <w:p w:rsidR="00C61256" w:rsidRDefault="00C61256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376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Okul Müdürü</w:t>
      </w:r>
    </w:p>
    <w:p w:rsidR="007F30F2" w:rsidRPr="00C02E42" w:rsidRDefault="007F30F2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F30F2" w:rsidRPr="00C02E42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2A" w:rsidRDefault="003E672A" w:rsidP="005A71D0">
      <w:pPr>
        <w:spacing w:line="240" w:lineRule="auto"/>
      </w:pPr>
      <w:r>
        <w:separator/>
      </w:r>
    </w:p>
  </w:endnote>
  <w:endnote w:type="continuationSeparator" w:id="0">
    <w:p w:rsidR="003E672A" w:rsidRDefault="003E672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5D" w:rsidRDefault="00596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5D" w:rsidRDefault="00596A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5D" w:rsidRDefault="00596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2A" w:rsidRDefault="003E672A" w:rsidP="005A71D0">
      <w:pPr>
        <w:spacing w:line="240" w:lineRule="auto"/>
      </w:pPr>
      <w:r>
        <w:separator/>
      </w:r>
    </w:p>
  </w:footnote>
  <w:footnote w:type="continuationSeparator" w:id="0">
    <w:p w:rsidR="003E672A" w:rsidRDefault="003E672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5D" w:rsidRDefault="00596A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76B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96A5D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49EAA9D7" wp14:editId="4A828541">
                <wp:extent cx="977900" cy="892810"/>
                <wp:effectExtent l="0" t="0" r="0" b="2540"/>
                <wp:docPr id="11162" name="8 Resim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2" name="8 Resim" descr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6324" w:rsidRDefault="00F46324" w:rsidP="00BC376B">
          <w:pPr>
            <w:jc w:val="center"/>
            <w:rPr>
              <w:rFonts w:ascii="Times New Roman" w:hAnsi="Times New Roman"/>
              <w:color w:val="FF0000"/>
            </w:rPr>
          </w:pPr>
          <w:r>
            <w:rPr>
              <w:color w:val="FF0000"/>
            </w:rPr>
            <w:t>ULA</w:t>
          </w:r>
          <w:r>
            <w:rPr>
              <w:rFonts w:ascii="Times New Roman" w:hAnsi="Times New Roman"/>
              <w:color w:val="FF0000"/>
            </w:rPr>
            <w:t xml:space="preserve">Ş </w:t>
          </w:r>
          <w:r w:rsidR="005A0C41">
            <w:rPr>
              <w:rFonts w:ascii="Times New Roman" w:hAnsi="Times New Roman"/>
              <w:color w:val="FF0000"/>
            </w:rPr>
            <w:t>HALK EĞİTİM MERKEZİ</w:t>
          </w:r>
          <w:r w:rsidR="00BC376B">
            <w:rPr>
              <w:rFonts w:ascii="Times New Roman" w:hAnsi="Times New Roman"/>
              <w:color w:val="FF0000"/>
            </w:rPr>
            <w:t xml:space="preserve"> MÜDÜRLÜĞÜ</w:t>
          </w:r>
        </w:p>
        <w:p w:rsidR="005A71D0" w:rsidRPr="00E850BC" w:rsidRDefault="00F46324" w:rsidP="00BC376B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color w:val="FF0000"/>
            </w:rPr>
            <w:t>STANDART ENFEKS</w:t>
          </w:r>
          <w:r>
            <w:rPr>
              <w:rFonts w:ascii="Times New Roman" w:hAnsi="Times New Roman"/>
              <w:color w:val="FF0000"/>
            </w:rPr>
            <w:t>İ</w:t>
          </w:r>
          <w:r>
            <w:rPr>
              <w:color w:val="FF0000"/>
            </w:rPr>
            <w:t>YON KONTROL ÖNLEMLERi(SEKÖ) ENFEKS</w:t>
          </w:r>
          <w:r>
            <w:rPr>
              <w:rFonts w:ascii="Times New Roman" w:hAnsi="Times New Roman"/>
              <w:color w:val="FF0000"/>
            </w:rPr>
            <w:t>İ</w:t>
          </w:r>
          <w:r>
            <w:rPr>
              <w:color w:val="FF0000"/>
            </w:rPr>
            <w:t>YON ÖNLEME VE KONTROL EYLEM PLANLAMASI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7B2E62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7B2E62" w:rsidRPr="00D208A0">
            <w:rPr>
              <w:rFonts w:ascii="Times New Roman" w:hAnsi="Times New Roman"/>
              <w:sz w:val="18"/>
            </w:rPr>
            <w:fldChar w:fldCharType="separate"/>
          </w:r>
          <w:r w:rsidR="00596A5D">
            <w:rPr>
              <w:rFonts w:ascii="Times New Roman" w:hAnsi="Times New Roman"/>
              <w:noProof/>
              <w:sz w:val="18"/>
            </w:rPr>
            <w:t>1</w:t>
          </w:r>
          <w:r w:rsidR="007B2E62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596A5D" w:rsidRPr="00596A5D">
              <w:rPr>
                <w:rFonts w:ascii="Times New Roman" w:hAnsi="Times New Roman"/>
                <w:noProof/>
                <w:sz w:val="18"/>
              </w:rPr>
              <w:t>7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0C4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08/10</w:t>
          </w:r>
          <w:r w:rsidR="00BC376B">
            <w:rPr>
              <w:rFonts w:ascii="Times New Roman" w:hAnsi="Times New Roman"/>
              <w:sz w:val="18"/>
            </w:rPr>
            <w:t>/2020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C376B" w:rsidP="007224DF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705691</w:t>
          </w:r>
        </w:p>
      </w:tc>
    </w:tr>
  </w:tbl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5D" w:rsidRDefault="00596A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52015"/>
    <w:rsid w:val="00080173"/>
    <w:rsid w:val="0008411F"/>
    <w:rsid w:val="000A6391"/>
    <w:rsid w:val="000B533E"/>
    <w:rsid w:val="000B6FE6"/>
    <w:rsid w:val="000C0C0A"/>
    <w:rsid w:val="000E002E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43B5A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5A0"/>
    <w:rsid w:val="00363E7B"/>
    <w:rsid w:val="003720B2"/>
    <w:rsid w:val="00382486"/>
    <w:rsid w:val="003D0106"/>
    <w:rsid w:val="003E5A8D"/>
    <w:rsid w:val="003E672A"/>
    <w:rsid w:val="003F501A"/>
    <w:rsid w:val="004345C6"/>
    <w:rsid w:val="00442B2E"/>
    <w:rsid w:val="0044488F"/>
    <w:rsid w:val="0044682E"/>
    <w:rsid w:val="00446A53"/>
    <w:rsid w:val="00453F70"/>
    <w:rsid w:val="0046247F"/>
    <w:rsid w:val="004902C2"/>
    <w:rsid w:val="004B51F1"/>
    <w:rsid w:val="004C5F18"/>
    <w:rsid w:val="004E0AB9"/>
    <w:rsid w:val="004E3BDE"/>
    <w:rsid w:val="00512D59"/>
    <w:rsid w:val="005463CE"/>
    <w:rsid w:val="00576F74"/>
    <w:rsid w:val="00580427"/>
    <w:rsid w:val="00583605"/>
    <w:rsid w:val="00585D40"/>
    <w:rsid w:val="00587B41"/>
    <w:rsid w:val="00592B4F"/>
    <w:rsid w:val="00596A5D"/>
    <w:rsid w:val="005A0622"/>
    <w:rsid w:val="005A0C41"/>
    <w:rsid w:val="005A71D0"/>
    <w:rsid w:val="005E0560"/>
    <w:rsid w:val="005F51A6"/>
    <w:rsid w:val="00617F4A"/>
    <w:rsid w:val="0062104D"/>
    <w:rsid w:val="00626066"/>
    <w:rsid w:val="00632070"/>
    <w:rsid w:val="006C436A"/>
    <w:rsid w:val="006C6CA1"/>
    <w:rsid w:val="006E47DD"/>
    <w:rsid w:val="00702CC6"/>
    <w:rsid w:val="00705E44"/>
    <w:rsid w:val="00714288"/>
    <w:rsid w:val="00715BC1"/>
    <w:rsid w:val="00721E56"/>
    <w:rsid w:val="007224DF"/>
    <w:rsid w:val="00730D5F"/>
    <w:rsid w:val="00730F6A"/>
    <w:rsid w:val="00764072"/>
    <w:rsid w:val="00765A32"/>
    <w:rsid w:val="00773EDE"/>
    <w:rsid w:val="00786BBE"/>
    <w:rsid w:val="00792C99"/>
    <w:rsid w:val="007B2E62"/>
    <w:rsid w:val="007B7585"/>
    <w:rsid w:val="007D7C68"/>
    <w:rsid w:val="007E0A06"/>
    <w:rsid w:val="007E5987"/>
    <w:rsid w:val="007F30F2"/>
    <w:rsid w:val="008017A1"/>
    <w:rsid w:val="00823E8F"/>
    <w:rsid w:val="00837FF8"/>
    <w:rsid w:val="008522B0"/>
    <w:rsid w:val="00854DCA"/>
    <w:rsid w:val="00860B72"/>
    <w:rsid w:val="00863609"/>
    <w:rsid w:val="00871726"/>
    <w:rsid w:val="008970DD"/>
    <w:rsid w:val="008B60A5"/>
    <w:rsid w:val="008D07BD"/>
    <w:rsid w:val="008E4F87"/>
    <w:rsid w:val="00905AD9"/>
    <w:rsid w:val="0091264B"/>
    <w:rsid w:val="00920E60"/>
    <w:rsid w:val="00931CC8"/>
    <w:rsid w:val="00940738"/>
    <w:rsid w:val="00945D92"/>
    <w:rsid w:val="00947F31"/>
    <w:rsid w:val="00972BEF"/>
    <w:rsid w:val="00987917"/>
    <w:rsid w:val="00997E58"/>
    <w:rsid w:val="009C11DD"/>
    <w:rsid w:val="009C3283"/>
    <w:rsid w:val="009C50A7"/>
    <w:rsid w:val="009C7C35"/>
    <w:rsid w:val="009E3558"/>
    <w:rsid w:val="00A004C7"/>
    <w:rsid w:val="00A1562E"/>
    <w:rsid w:val="00A447C7"/>
    <w:rsid w:val="00A466D3"/>
    <w:rsid w:val="00A840AE"/>
    <w:rsid w:val="00A9106E"/>
    <w:rsid w:val="00A9635B"/>
    <w:rsid w:val="00AC165D"/>
    <w:rsid w:val="00AD1A2A"/>
    <w:rsid w:val="00AE2E88"/>
    <w:rsid w:val="00AE6E2E"/>
    <w:rsid w:val="00B06430"/>
    <w:rsid w:val="00B23320"/>
    <w:rsid w:val="00B26ABA"/>
    <w:rsid w:val="00B4638D"/>
    <w:rsid w:val="00B56DB7"/>
    <w:rsid w:val="00B726FF"/>
    <w:rsid w:val="00B74DFD"/>
    <w:rsid w:val="00BA5AF7"/>
    <w:rsid w:val="00BC30A1"/>
    <w:rsid w:val="00BC376B"/>
    <w:rsid w:val="00BF1B29"/>
    <w:rsid w:val="00C02E42"/>
    <w:rsid w:val="00C10620"/>
    <w:rsid w:val="00C2557D"/>
    <w:rsid w:val="00C61256"/>
    <w:rsid w:val="00C639C4"/>
    <w:rsid w:val="00C820A9"/>
    <w:rsid w:val="00C85DD2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83C21"/>
    <w:rsid w:val="00D9293C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0F40"/>
    <w:rsid w:val="00E561F3"/>
    <w:rsid w:val="00E8227C"/>
    <w:rsid w:val="00E87A34"/>
    <w:rsid w:val="00E906F6"/>
    <w:rsid w:val="00E924B2"/>
    <w:rsid w:val="00EB1F8F"/>
    <w:rsid w:val="00EC0687"/>
    <w:rsid w:val="00EE02CE"/>
    <w:rsid w:val="00F25352"/>
    <w:rsid w:val="00F27057"/>
    <w:rsid w:val="00F3254F"/>
    <w:rsid w:val="00F42328"/>
    <w:rsid w:val="00F46324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2234F-65B1-4244-9710-95754DE3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97B6-3649-44F4-AC87-CE8E6EBC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cp:lastPrinted>2020-09-10T12:48:00Z</cp:lastPrinted>
  <dcterms:created xsi:type="dcterms:W3CDTF">2020-09-16T07:52:00Z</dcterms:created>
  <dcterms:modified xsi:type="dcterms:W3CDTF">2020-10-15T05:44:00Z</dcterms:modified>
</cp:coreProperties>
</file>